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D17F" w14:textId="141CEBAA" w:rsidR="000D12BC" w:rsidRPr="000D12BC" w:rsidRDefault="000D12BC" w:rsidP="000D12BC">
      <w:pPr>
        <w:jc w:val="center"/>
        <w:rPr>
          <w:b/>
          <w:bCs/>
        </w:rPr>
      </w:pPr>
      <w:r w:rsidRPr="000D12BC">
        <w:rPr>
          <w:b/>
          <w:bCs/>
        </w:rPr>
        <w:t>Stanowisko Regionalnej Izby Obrachunkowej w Łodzi</w:t>
      </w:r>
    </w:p>
    <w:p w14:paraId="0F0A2AE9" w14:textId="34898305" w:rsidR="000D12BC" w:rsidRPr="000D12BC" w:rsidRDefault="000D12BC" w:rsidP="000D12BC">
      <w:pPr>
        <w:jc w:val="center"/>
        <w:rPr>
          <w:b/>
          <w:bCs/>
        </w:rPr>
      </w:pPr>
      <w:r w:rsidRPr="000D12BC">
        <w:rPr>
          <w:b/>
          <w:bCs/>
        </w:rPr>
        <w:t>w sprawie zasad nabywania prawa do nagrody jubileuszowej</w:t>
      </w:r>
    </w:p>
    <w:p w14:paraId="6B1544E7" w14:textId="1E389F0A" w:rsidR="00EA4E18" w:rsidRPr="000D12BC" w:rsidRDefault="000D12BC" w:rsidP="000D12BC">
      <w:pPr>
        <w:jc w:val="center"/>
        <w:rPr>
          <w:b/>
          <w:bCs/>
        </w:rPr>
      </w:pPr>
      <w:r w:rsidRPr="000D12BC">
        <w:rPr>
          <w:b/>
          <w:bCs/>
        </w:rPr>
        <w:t>dla pracowników samorządowych</w:t>
      </w:r>
      <w:r w:rsidR="00D10FD1">
        <w:rPr>
          <w:b/>
          <w:bCs/>
        </w:rPr>
        <w:t>/</w:t>
      </w:r>
      <w:r w:rsidR="00B55075">
        <w:rPr>
          <w:b/>
          <w:bCs/>
        </w:rPr>
        <w:t xml:space="preserve"> </w:t>
      </w:r>
      <w:r w:rsidR="00D10FD1">
        <w:rPr>
          <w:b/>
          <w:bCs/>
        </w:rPr>
        <w:t>z</w:t>
      </w:r>
      <w:r w:rsidR="00B55075">
        <w:rPr>
          <w:b/>
          <w:bCs/>
        </w:rPr>
        <w:t xml:space="preserve">aliczania nowych okresów aktywności zawodowej do pracowniczego stażu pracy. </w:t>
      </w:r>
    </w:p>
    <w:p w14:paraId="475792EE" w14:textId="6702D85F" w:rsidR="000D12BC" w:rsidRDefault="000D12BC" w:rsidP="000D12BC"/>
    <w:p w14:paraId="07A7D7D9" w14:textId="77777777" w:rsidR="000D12BC" w:rsidRDefault="000D12BC" w:rsidP="000D12BC">
      <w:pPr>
        <w:jc w:val="both"/>
      </w:pPr>
    </w:p>
    <w:p w14:paraId="4D10516F" w14:textId="4BF8228E" w:rsidR="000D12BC" w:rsidRDefault="000D12BC" w:rsidP="000D12BC">
      <w:pPr>
        <w:jc w:val="both"/>
      </w:pPr>
      <w:r>
        <w:t>Z dniem 1 stycznia 2026</w:t>
      </w:r>
      <w:r w:rsidR="00B55075">
        <w:t xml:space="preserve"> </w:t>
      </w:r>
      <w:r>
        <w:t xml:space="preserve">r. weszła w życie ustawa z dnia 26 września 2025r. o zmianie ustawy – kodeks pracy oraz niektórych innych ustaw </w:t>
      </w:r>
      <w:r w:rsidR="00B55075">
        <w:t>(</w:t>
      </w:r>
      <w:r>
        <w:t>Dz.U. poz. 1423</w:t>
      </w:r>
      <w:r w:rsidR="00B55075">
        <w:t>)</w:t>
      </w:r>
      <w:r>
        <w:t>.</w:t>
      </w:r>
    </w:p>
    <w:p w14:paraId="0610F29C" w14:textId="77777777" w:rsidR="000D12BC" w:rsidRDefault="000D12BC" w:rsidP="000D12BC">
      <w:pPr>
        <w:jc w:val="both"/>
      </w:pPr>
    </w:p>
    <w:p w14:paraId="243DBF13" w14:textId="22799BED" w:rsidR="000D12BC" w:rsidRDefault="000D12BC" w:rsidP="000D12BC">
      <w:pPr>
        <w:jc w:val="both"/>
      </w:pPr>
      <w:r>
        <w:t>Zgodnie z treścią § 1  art. 302</w:t>
      </w:r>
      <w:r w:rsidR="00B55075" w:rsidRPr="00B55075">
        <w:rPr>
          <w:vertAlign w:val="superscript"/>
        </w:rPr>
        <w:t>1</w:t>
      </w:r>
      <w:r>
        <w:t xml:space="preserve"> kp </w:t>
      </w:r>
      <w:r w:rsidR="00B55075">
        <w:t xml:space="preserve">: </w:t>
      </w:r>
      <w:r w:rsidRPr="002702AF">
        <w:t xml:space="preserve">Do okresu zatrudnienia wlicza się okresy prowadzenia przez osobę fizyczną pozarolniczej działalności, o której mowa </w:t>
      </w:r>
      <w:r w:rsidRPr="00B55075">
        <w:t xml:space="preserve">w </w:t>
      </w:r>
      <w:hyperlink r:id="rId5" w:anchor="/document/16831915?unitId=art(8)ust(6)" w:history="1">
        <w:r w:rsidRPr="00B55075">
          <w:rPr>
            <w:rStyle w:val="Hipercze"/>
            <w:rFonts w:eastAsiaTheme="majorEastAsia"/>
            <w:color w:val="auto"/>
            <w:u w:val="none"/>
          </w:rPr>
          <w:t>art. 8 ust. 6</w:t>
        </w:r>
      </w:hyperlink>
      <w:r w:rsidRPr="002702AF">
        <w:t xml:space="preserve"> ustawy z dnia 13 października 1998 r. o systemie ubezpieczeń społecznych, oraz okresy pozostawania osobą współpracującą z osobą fizyczną prowadzącą tę działalność, za które zostały opłacone składki na ubezpieczenia emerytalne, rentowe lub wypadkowe.</w:t>
      </w:r>
    </w:p>
    <w:p w14:paraId="6FD812F7" w14:textId="77777777" w:rsidR="000D12BC" w:rsidRDefault="000D12BC" w:rsidP="000D12BC">
      <w:pPr>
        <w:jc w:val="both"/>
      </w:pPr>
    </w:p>
    <w:p w14:paraId="4F5C907B" w14:textId="3C71B64E" w:rsidR="000D12BC" w:rsidRDefault="000D12BC" w:rsidP="000D12BC">
      <w:pPr>
        <w:jc w:val="both"/>
      </w:pPr>
      <w:r>
        <w:t xml:space="preserve">W  kolejnych </w:t>
      </w:r>
      <w:r w:rsidR="00B55075">
        <w:rPr>
          <w:rFonts w:ascii="Sylfaen" w:hAnsi="Sylfaen"/>
        </w:rPr>
        <w:t>paragrafach</w:t>
      </w:r>
      <w:r>
        <w:t xml:space="preserve"> art. 302</w:t>
      </w:r>
      <w:r w:rsidR="00B55075" w:rsidRPr="00B55075">
        <w:rPr>
          <w:vertAlign w:val="superscript"/>
        </w:rPr>
        <w:t>1</w:t>
      </w:r>
      <w:r>
        <w:t xml:space="preserve">  kp wskazane zostały także inne okresy podlegające wliczeniu do pracowniczego stażu pracy np. okresy wykonywania przez osobę fizyczną umowy zlecenia lub innej umowy o świadczenie usług </w:t>
      </w:r>
      <w:r w:rsidR="00B55075">
        <w:t>(</w:t>
      </w:r>
      <w:r>
        <w:t>§ 2 pkt 1</w:t>
      </w:r>
      <w:r w:rsidR="00B55075">
        <w:t>)</w:t>
      </w:r>
      <w:r>
        <w:t>.</w:t>
      </w:r>
    </w:p>
    <w:p w14:paraId="2FF760AE" w14:textId="77777777" w:rsidR="000D12BC" w:rsidRDefault="000D12BC" w:rsidP="000D12BC">
      <w:pPr>
        <w:jc w:val="both"/>
      </w:pPr>
    </w:p>
    <w:p w14:paraId="19EE9975" w14:textId="2E477EC6" w:rsidR="000D12BC" w:rsidRDefault="000D12BC" w:rsidP="000D12BC">
      <w:pPr>
        <w:jc w:val="both"/>
      </w:pPr>
      <w:r>
        <w:t>Stosownie do treści § 11 art. 302</w:t>
      </w:r>
      <w:r w:rsidRPr="00B55075">
        <w:rPr>
          <w:vertAlign w:val="superscript"/>
        </w:rPr>
        <w:t>1</w:t>
      </w:r>
      <w:r w:rsidRPr="002702AF">
        <w:t xml:space="preserve">  </w:t>
      </w:r>
      <w:r w:rsidR="00B55075">
        <w:t xml:space="preserve"> </w:t>
      </w:r>
      <w:r w:rsidRPr="002702AF">
        <w:t>Okresy, o których mowa w § 1, § 4 pkt 2, § 5 i 6, potwierdza zaświadczenie wydane przez Zakład Ubezpieczeń Społecznych o opłaceniu za dany okres składek na ubezpieczenia emerytalne, rentowe lub wypadkowe z danego tytułu</w:t>
      </w:r>
      <w:r>
        <w:t>, zaś zgodnie z treścią  § 10</w:t>
      </w:r>
      <w:r w:rsidR="00B55075">
        <w:t xml:space="preserve"> </w:t>
      </w:r>
      <w:r>
        <w:t xml:space="preserve"> w </w:t>
      </w:r>
      <w:r w:rsidRPr="002702AF">
        <w:t xml:space="preserve"> przypadku nakładania się okresów, o których mowa w § 1-7, lub nakładania się tych okresów na okres pozostawania w stosunku pracy do okresu zatrudnienia wlicza się okres najkorzystniejszy dla osoby, której okresy będą podlegały wliczeniu do okresu zatrudnienia.</w:t>
      </w:r>
    </w:p>
    <w:p w14:paraId="1DFE4A8E" w14:textId="77777777" w:rsidR="000D12BC" w:rsidRDefault="000D12BC" w:rsidP="000D12BC">
      <w:pPr>
        <w:jc w:val="both"/>
      </w:pPr>
    </w:p>
    <w:p w14:paraId="2A2F6771" w14:textId="1EDA6C74" w:rsidR="000D12BC" w:rsidRPr="00005B76" w:rsidRDefault="000D12BC" w:rsidP="000D12BC">
      <w:pPr>
        <w:jc w:val="both"/>
      </w:pPr>
      <w:r w:rsidRPr="00005B76">
        <w:t>Po myśli art. 6 ustawy zmieniającej kodeks pracy</w:t>
      </w:r>
      <w:r w:rsidR="00005B76" w:rsidRPr="00005B76">
        <w:t xml:space="preserve"> </w:t>
      </w:r>
      <w:r w:rsidRPr="00005B76">
        <w:t xml:space="preserve">Uprawnienia pracownicze wynikające z wliczenia okresów, o których mowa w </w:t>
      </w:r>
      <w:hyperlink r:id="rId6" w:anchor="/document/16789274?unitId=art(302(1))par(1)" w:history="1">
        <w:r w:rsidRPr="00005B76">
          <w:rPr>
            <w:rStyle w:val="Hipercze"/>
            <w:rFonts w:eastAsiaTheme="majorEastAsia"/>
            <w:color w:val="auto"/>
          </w:rPr>
          <w:t>art. 302</w:t>
        </w:r>
        <w:r w:rsidRPr="00005B76">
          <w:rPr>
            <w:rStyle w:val="Hipercze"/>
            <w:rFonts w:eastAsiaTheme="majorEastAsia"/>
            <w:color w:val="auto"/>
            <w:vertAlign w:val="superscript"/>
          </w:rPr>
          <w:t>1</w:t>
        </w:r>
        <w:r w:rsidRPr="00005B76">
          <w:rPr>
            <w:rStyle w:val="Hipercze"/>
            <w:rFonts w:eastAsiaTheme="majorEastAsia"/>
            <w:color w:val="auto"/>
          </w:rPr>
          <w:t xml:space="preserve"> § 1-7</w:t>
        </w:r>
      </w:hyperlink>
      <w:r w:rsidRPr="00005B76">
        <w:t xml:space="preserve"> ustawy zmienianej w art. 1, do okresu zatrudnienia przysługują od dnia nabycia prawa do tych uprawnień, ale nie wcześniej niż od dnia:</w:t>
      </w:r>
    </w:p>
    <w:p w14:paraId="540E2761" w14:textId="126D35DA" w:rsidR="000D12BC" w:rsidRPr="00005B76" w:rsidRDefault="000D12BC" w:rsidP="00005B76">
      <w:pPr>
        <w:pStyle w:val="Akapitzlist"/>
        <w:numPr>
          <w:ilvl w:val="0"/>
          <w:numId w:val="1"/>
        </w:numPr>
        <w:jc w:val="both"/>
      </w:pPr>
      <w:r w:rsidRPr="00005B76">
        <w:t xml:space="preserve">wejścia w życie niniejszej ustawy, w przypadku pracownika zatrudnionego u pracodawcy będącego jednostką sektora finansów publicznych w rozumieniu </w:t>
      </w:r>
      <w:hyperlink r:id="rId7" w:anchor="/document/17569559" w:history="1">
        <w:r w:rsidRPr="00005B76">
          <w:rPr>
            <w:rStyle w:val="Hipercze"/>
            <w:rFonts w:eastAsiaTheme="majorEastAsia"/>
            <w:color w:val="auto"/>
          </w:rPr>
          <w:t>ustawy</w:t>
        </w:r>
      </w:hyperlink>
      <w:r w:rsidRPr="00005B76">
        <w:t xml:space="preserve"> z dnia 27 sierpnia 2009 r. o finansach publicznych (Dz. U. z 2024 r. poz. 1530, z późn. zm.) albo</w:t>
      </w:r>
    </w:p>
    <w:p w14:paraId="628C7CD3" w14:textId="29230662" w:rsidR="000D12BC" w:rsidRPr="00005B76" w:rsidRDefault="000D12BC" w:rsidP="000D12BC">
      <w:pPr>
        <w:pStyle w:val="Akapitzlist"/>
        <w:numPr>
          <w:ilvl w:val="0"/>
          <w:numId w:val="1"/>
        </w:numPr>
        <w:jc w:val="both"/>
      </w:pPr>
      <w:r w:rsidRPr="00005B76">
        <w:t xml:space="preserve">określonego w art. 9, w przypadku pracownika zatrudnionego u pracodawcy niebędącego jednostką sektora finansów publicznych w rozumieniu </w:t>
      </w:r>
      <w:hyperlink r:id="rId8" w:anchor="/document/17569559" w:history="1">
        <w:r w:rsidRPr="00005B76">
          <w:rPr>
            <w:rStyle w:val="Hipercze"/>
            <w:rFonts w:eastAsiaTheme="majorEastAsia"/>
            <w:color w:val="auto"/>
          </w:rPr>
          <w:t>ustawy</w:t>
        </w:r>
      </w:hyperlink>
      <w:r w:rsidRPr="00005B76">
        <w:t xml:space="preserve"> z dnia 27 sierpnia 2009 r. o finansach publicznych.</w:t>
      </w:r>
    </w:p>
    <w:p w14:paraId="429DA53C" w14:textId="0A7A1BE3" w:rsidR="000D12BC" w:rsidRPr="00005B76" w:rsidRDefault="000D12BC" w:rsidP="000D12BC">
      <w:pPr>
        <w:jc w:val="both"/>
      </w:pPr>
      <w:r w:rsidRPr="00005B76">
        <w:t>Czyli odnośnie do pracowników samorządowych  zaliczenie  okresów aktywności zawodowej</w:t>
      </w:r>
      <w:r w:rsidR="00005B76" w:rsidRPr="00005B76">
        <w:t xml:space="preserve">, </w:t>
      </w:r>
      <w:r w:rsidRPr="00005B76">
        <w:t>o których mowa w art. 302</w:t>
      </w:r>
      <w:r w:rsidRPr="00005B76">
        <w:rPr>
          <w:vertAlign w:val="superscript"/>
        </w:rPr>
        <w:t>1</w:t>
      </w:r>
      <w:r w:rsidR="00005B76" w:rsidRPr="00005B76">
        <w:rPr>
          <w:vertAlign w:val="superscript"/>
        </w:rPr>
        <w:t xml:space="preserve"> </w:t>
      </w:r>
      <w:r w:rsidRPr="00005B76">
        <w:t>kp może być dokonane  z dniem 1 stycznia 2026</w:t>
      </w:r>
      <w:r w:rsidR="00005B76" w:rsidRPr="00005B76">
        <w:t xml:space="preserve"> </w:t>
      </w:r>
      <w:r w:rsidRPr="00005B76">
        <w:t>r.</w:t>
      </w:r>
    </w:p>
    <w:p w14:paraId="34D8CEEE" w14:textId="77777777" w:rsidR="000D12BC" w:rsidRPr="00B55075" w:rsidRDefault="000D12BC" w:rsidP="000D12BC">
      <w:pPr>
        <w:jc w:val="both"/>
        <w:rPr>
          <w:color w:val="EE0000"/>
        </w:rPr>
      </w:pPr>
    </w:p>
    <w:p w14:paraId="6FE22AAB" w14:textId="3FA6C3F1" w:rsidR="000D12BC" w:rsidRPr="00005B76" w:rsidRDefault="000D12BC" w:rsidP="000D12BC">
      <w:pPr>
        <w:jc w:val="both"/>
      </w:pPr>
      <w:r w:rsidRPr="00005B76">
        <w:t>Należy zauważyć, że kwestie dotyczące zasad nabywania prawa do nagrody jubileuszowej  dla pracowników samorządowych są uregulowane w  art. 38 ustawy z dnia 21 listopada 2008</w:t>
      </w:r>
      <w:r w:rsidR="00005B76" w:rsidRPr="00005B76">
        <w:t xml:space="preserve"> </w:t>
      </w:r>
      <w:r w:rsidRPr="00005B76">
        <w:t xml:space="preserve">r. o pracownikach samorządowych </w:t>
      </w:r>
      <w:r w:rsidR="00005B76" w:rsidRPr="00005B76">
        <w:t>(</w:t>
      </w:r>
      <w:r w:rsidRPr="00005B76">
        <w:t>Dz.U. z 2025</w:t>
      </w:r>
      <w:r w:rsidR="00005B76" w:rsidRPr="00005B76">
        <w:t xml:space="preserve"> </w:t>
      </w:r>
      <w:r w:rsidRPr="00005B76">
        <w:t>r., poz. 1135</w:t>
      </w:r>
      <w:r w:rsidR="00005B76" w:rsidRPr="00005B76">
        <w:t>)</w:t>
      </w:r>
      <w:r w:rsidRPr="00005B76">
        <w:t xml:space="preserve">  oraz w przepisach rozporządzenia Rady Ministrów z dnia 25 października 2021</w:t>
      </w:r>
      <w:r w:rsidR="00005B76" w:rsidRPr="00005B76">
        <w:t xml:space="preserve"> </w:t>
      </w:r>
      <w:r w:rsidRPr="00005B76">
        <w:t xml:space="preserve">r. w sprawie wynagradzania pracowników samorządowych </w:t>
      </w:r>
      <w:r w:rsidR="00005B76" w:rsidRPr="00005B76">
        <w:t>(</w:t>
      </w:r>
      <w:r w:rsidRPr="00005B76">
        <w:t>Dz.U z 2024r., poz. 1638</w:t>
      </w:r>
      <w:r w:rsidR="00005B76" w:rsidRPr="00005B76">
        <w:t>)</w:t>
      </w:r>
      <w:r w:rsidRPr="00005B76">
        <w:t xml:space="preserve">. Ponieważ są to przepisy szczególne dotyczące określonej grupy pracowniczej, to przepisy te będziemy stosować z pierwszeństwem wobec regulacji zawartych w przepisach przejściowych  ustawy zmieniającej kodeks pracy. </w:t>
      </w:r>
      <w:r w:rsidR="00005B76" w:rsidRPr="00005B76">
        <w:t xml:space="preserve"> </w:t>
      </w:r>
      <w:r w:rsidRPr="00005B76">
        <w:t xml:space="preserve">Powyższe wynika z art. 5 kp. </w:t>
      </w:r>
    </w:p>
    <w:p w14:paraId="528BCFE4" w14:textId="77777777" w:rsidR="000D12BC" w:rsidRPr="00005B76" w:rsidRDefault="000D12BC" w:rsidP="000D12BC">
      <w:pPr>
        <w:jc w:val="both"/>
      </w:pPr>
    </w:p>
    <w:p w14:paraId="58B33BB6" w14:textId="7BB7C6AB" w:rsidR="000D12BC" w:rsidRPr="00D10FD1" w:rsidRDefault="000D12BC" w:rsidP="000D12BC">
      <w:pPr>
        <w:jc w:val="both"/>
      </w:pPr>
      <w:r w:rsidRPr="00005B76">
        <w:lastRenderedPageBreak/>
        <w:t xml:space="preserve">Zgodnie z treścią  ust.  art. 38 ust.5  do okresów pracy uprawniających do dodatku za wieloletnią pracę, nagrody jubileuszowej i jednorazowej odprawy w związku z przejściem na emeryturę lub rentę z tytułu niezdolności </w:t>
      </w:r>
      <w:r w:rsidRPr="00D10FD1">
        <w:t>do pracy wlicza się wszystkie poprzednio zakończone okresy zatrudnienia oraz inne okresy, jeżeli z mocy odrębnych przepisów podlegają one wliczeniu do okresu pracy, od którego zależą uprawnienia pracownicze.</w:t>
      </w:r>
    </w:p>
    <w:p w14:paraId="6F06A5CF" w14:textId="377DCD39" w:rsidR="000D12BC" w:rsidRPr="00005B76" w:rsidRDefault="000D12BC" w:rsidP="000D12BC">
      <w:pPr>
        <w:jc w:val="both"/>
      </w:pPr>
      <w:r w:rsidRPr="00D10FD1">
        <w:t>Zgodnie z przywołanym przepisem pracodawca zaliczy pracownikowi</w:t>
      </w:r>
      <w:r w:rsidRPr="00005B76">
        <w:t xml:space="preserve">  samorządowemu  do pracowniczego stażu pracy okresy, o których mowa w nowym art. 302</w:t>
      </w:r>
      <w:r w:rsidRPr="00005B76">
        <w:rPr>
          <w:vertAlign w:val="superscript"/>
        </w:rPr>
        <w:t>1</w:t>
      </w:r>
      <w:r w:rsidR="00005B76" w:rsidRPr="00005B76">
        <w:t xml:space="preserve"> </w:t>
      </w:r>
      <w:r w:rsidRPr="00005B76">
        <w:t xml:space="preserve"> kp</w:t>
      </w:r>
      <w:r w:rsidR="00005B76" w:rsidRPr="00005B76">
        <w:t>,</w:t>
      </w:r>
      <w:r w:rsidRPr="00005B76">
        <w:t xml:space="preserve"> a więc także okres prowadzenia działalności gospodarczej. </w:t>
      </w:r>
    </w:p>
    <w:p w14:paraId="6D13D73B" w14:textId="77777777" w:rsidR="000D12BC" w:rsidRPr="00B55075" w:rsidRDefault="000D12BC" w:rsidP="000D12BC">
      <w:pPr>
        <w:jc w:val="both"/>
        <w:rPr>
          <w:color w:val="EE0000"/>
        </w:rPr>
      </w:pPr>
    </w:p>
    <w:p w14:paraId="2D34D4F7" w14:textId="77777777" w:rsidR="000D12BC" w:rsidRPr="00005B76" w:rsidRDefault="000D12BC" w:rsidP="000D12BC">
      <w:pPr>
        <w:jc w:val="both"/>
      </w:pPr>
      <w:r w:rsidRPr="00005B76">
        <w:t>Odnośnie zaś ustalania wysokości  nagrody jubileuszowej w szczególności w przypadku zaliczania nowo udokumentowanych staży, to przywołać należy regulację § 8 ust. 9-11 przywołanego wyżej rozporządzenia, zgodnie z którymi:</w:t>
      </w:r>
    </w:p>
    <w:p w14:paraId="5EDADC2C" w14:textId="77777777" w:rsidR="000D12BC" w:rsidRPr="00005B76" w:rsidRDefault="000D12BC" w:rsidP="000D12BC">
      <w:pPr>
        <w:jc w:val="both"/>
      </w:pPr>
    </w:p>
    <w:p w14:paraId="0A58AA62" w14:textId="66370C2A" w:rsidR="000D12BC" w:rsidRPr="00005B76" w:rsidRDefault="00005B76" w:rsidP="000D12BC">
      <w:pPr>
        <w:jc w:val="both"/>
      </w:pPr>
      <w:r w:rsidRPr="00005B76">
        <w:rPr>
          <w:u w:val="single"/>
        </w:rPr>
        <w:t xml:space="preserve">Ust. </w:t>
      </w:r>
      <w:r w:rsidR="000D12BC" w:rsidRPr="00005B76">
        <w:rPr>
          <w:u w:val="single"/>
        </w:rPr>
        <w:t>9</w:t>
      </w:r>
      <w:r w:rsidRPr="00005B76">
        <w:rPr>
          <w:u w:val="single"/>
        </w:rPr>
        <w:t>.</w:t>
      </w:r>
      <w:r w:rsidRPr="00005B76">
        <w:t xml:space="preserve"> </w:t>
      </w:r>
      <w:r w:rsidR="000D12BC" w:rsidRPr="00005B76">
        <w:t> Jeżeli w dniu wejścia w życie przepisów wprowadzających zaliczalność do okresów, od których uzależnia się uprawnienia pracownicze, okresów niepodlegających dotychczas wliczeniu upływa okres uprawniający pracownika samorządowego do dwóch lub więcej nagród jubileuszowych, wypłaca mu się tylko jedną nagrodę - najwyższą.</w:t>
      </w:r>
    </w:p>
    <w:p w14:paraId="25B93E2A" w14:textId="77777777" w:rsidR="00005B76" w:rsidRPr="00005B76" w:rsidRDefault="00005B76" w:rsidP="000D12BC">
      <w:pPr>
        <w:jc w:val="both"/>
      </w:pPr>
    </w:p>
    <w:p w14:paraId="6FCBA253" w14:textId="502DA495" w:rsidR="000D12BC" w:rsidRPr="00005B76" w:rsidRDefault="00005B76" w:rsidP="000D12BC">
      <w:pPr>
        <w:jc w:val="both"/>
      </w:pPr>
      <w:r w:rsidRPr="00005B76">
        <w:rPr>
          <w:u w:val="single"/>
        </w:rPr>
        <w:t>Ust. 10</w:t>
      </w:r>
      <w:r w:rsidRPr="00005B76">
        <w:t xml:space="preserve">. </w:t>
      </w:r>
      <w:r w:rsidR="000D12BC" w:rsidRPr="00005B76">
        <w:t> Pracownikowi samorządowemu, który w dniu wejścia w życie przepisów, o których mowa w ust. 9, ma okres zatrudnienia, wraz z innymi okresami wliczanymi do tego okresu, dłuższy niż wymagany do nagrody jubileuszowej danego stopnia, a w ciągu 12 miesięcy od tego dnia upłynie okres uprawniający go do nabycia nagrody jubileuszowej wyższego stopnia, nagrodę niższą wypłaca się w pełnej wysokości, a w dniu nabycia prawa do nagrody wyższej - różnicę między kwotą nagrody wyższej a kwotą nagrody niższej.</w:t>
      </w:r>
    </w:p>
    <w:p w14:paraId="34BBB44C" w14:textId="77777777" w:rsidR="00005B76" w:rsidRPr="00005B76" w:rsidRDefault="00005B76" w:rsidP="000D12BC">
      <w:pPr>
        <w:jc w:val="both"/>
      </w:pPr>
    </w:p>
    <w:p w14:paraId="317DA489" w14:textId="5675840C" w:rsidR="000D12BC" w:rsidRPr="00005B76" w:rsidRDefault="00005B76" w:rsidP="000D12BC">
      <w:pPr>
        <w:jc w:val="both"/>
      </w:pPr>
      <w:r w:rsidRPr="00005B76">
        <w:rPr>
          <w:u w:val="single"/>
        </w:rPr>
        <w:t>Ust.</w:t>
      </w:r>
      <w:r w:rsidR="000D12BC" w:rsidRPr="00005B76">
        <w:rPr>
          <w:u w:val="single"/>
        </w:rPr>
        <w:t>11</w:t>
      </w:r>
      <w:r w:rsidR="000D12BC" w:rsidRPr="00005B76">
        <w:t>.</w:t>
      </w:r>
      <w:r w:rsidRPr="00005B76">
        <w:t xml:space="preserve"> </w:t>
      </w:r>
      <w:r w:rsidR="000D12BC" w:rsidRPr="00005B76">
        <w:t>Przepisy ust. 9 i 10 stosuje się odpowiednio, jeżeli w dniu, w którym pracownik samorządowy udokumentował swoje prawo do nagrody jubileuszowej, był uprawniony do nagrody wyższego stopnia oraz gdy pracownik samorządowy nabędzie to prawo w ciągu 12 miesięcy od tego dnia.</w:t>
      </w:r>
    </w:p>
    <w:p w14:paraId="3C1DD9BC" w14:textId="77777777" w:rsidR="000D12BC" w:rsidRPr="00B55075" w:rsidRDefault="000D12BC" w:rsidP="000D12BC">
      <w:pPr>
        <w:jc w:val="both"/>
        <w:rPr>
          <w:color w:val="EE0000"/>
        </w:rPr>
      </w:pPr>
      <w:r w:rsidRPr="00B55075">
        <w:rPr>
          <w:noProof/>
          <w:color w:val="EE0000"/>
        </w:rPr>
        <mc:AlternateContent>
          <mc:Choice Requires="wpi">
            <w:drawing>
              <wp:anchor distT="0" distB="0" distL="114300" distR="114300" simplePos="0" relativeHeight="251659264" behindDoc="0" locked="0" layoutInCell="1" allowOverlap="1" wp14:anchorId="5CE5AD3B" wp14:editId="72338B05">
                <wp:simplePos x="0" y="0"/>
                <wp:positionH relativeFrom="column">
                  <wp:posOffset>-3814490</wp:posOffset>
                </wp:positionH>
                <wp:positionV relativeFrom="paragraph">
                  <wp:posOffset>136360</wp:posOffset>
                </wp:positionV>
                <wp:extent cx="360" cy="360"/>
                <wp:effectExtent l="38100" t="38100" r="38100" b="38100"/>
                <wp:wrapNone/>
                <wp:docPr id="1596701680" name="Pismo odręczne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1567B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 o:spid="_x0000_s1026" type="#_x0000_t75" style="position:absolute;margin-left:-300.85pt;margin-top:10.2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">
                <v:imagedata r:id="rId10" o:title=""/>
              </v:shape>
            </w:pict>
          </mc:Fallback>
        </mc:AlternateContent>
      </w:r>
    </w:p>
    <w:p w14:paraId="6036E374" w14:textId="6BBE61B2" w:rsidR="000D12BC" w:rsidRPr="001F203D" w:rsidRDefault="000D12BC" w:rsidP="000D12BC">
      <w:pPr>
        <w:jc w:val="both"/>
      </w:pPr>
      <w:r w:rsidRPr="001F203D">
        <w:t xml:space="preserve">Zasadnicze znaczenie nowej regulacji kodeksu pracy polega na wprowadzeniu nowego dodatkowego terminu, w którym pracownik może nabyć prawo do nagrody. Jest to dzień wejścia w życie przepisów przewidujących nowe okresy wliczane do stażu pracy, </w:t>
      </w:r>
      <w:r w:rsidR="00005B76" w:rsidRPr="001F203D">
        <w:t xml:space="preserve"> </w:t>
      </w:r>
      <w:r w:rsidRPr="001F203D">
        <w:t>czyli 1.01.26</w:t>
      </w:r>
      <w:r w:rsidR="00005B76" w:rsidRPr="001F203D">
        <w:t> r.</w:t>
      </w:r>
      <w:r w:rsidRPr="001F203D">
        <w:t xml:space="preserve">  Podstawą nabycia tego prawa jest upływ przed tym dniem jednego lub kilku okresów zatrudnienia wymaganych do nabycia prawa do nagrody /w przypadku  pracowników samorządowych  są to okresy pięcioletnie/ obliczonych z uwzględnieniem nowych przepisów. W dniu 1 stycznia 2026r. pracownik nabywa prawo do jednej nagrody – najwyższej za wszystkie poprzednie okresy. </w:t>
      </w:r>
    </w:p>
    <w:p w14:paraId="34C0B108" w14:textId="70BB0658" w:rsidR="000D12BC" w:rsidRPr="001F203D" w:rsidRDefault="000D12BC" w:rsidP="000D12BC">
      <w:pPr>
        <w:jc w:val="both"/>
      </w:pPr>
      <w:r w:rsidRPr="001F203D">
        <w:t xml:space="preserve">Nagroda ta ma wpływ na następną nagrodę jubileuszową tylko w jednym przypadku, o którym mowa w ust. 10 § 8 w/przywołanego rozporządzenia. Z przepisu tego wynika bowiem, że jeżeli pracownik nabędzie prawo do następnej nagrody do 1.01.2027 </w:t>
      </w:r>
      <w:r w:rsidR="001F203D" w:rsidRPr="001F203D">
        <w:t>(</w:t>
      </w:r>
      <w:r w:rsidRPr="001F203D">
        <w:t>czyli najpóźniej w dniu 31 grudnia 2026r.</w:t>
      </w:r>
      <w:r w:rsidR="001F203D" w:rsidRPr="001F203D">
        <w:t>)</w:t>
      </w:r>
      <w:r w:rsidRPr="001F203D">
        <w:t>, to pracodawca wypłaca pracownikowi różnicę między tą następną nagrodą a nagrodą, do której nabył prawo 1 stycznia 2026</w:t>
      </w:r>
      <w:r w:rsidR="001F203D" w:rsidRPr="001F203D">
        <w:t xml:space="preserve"> </w:t>
      </w:r>
      <w:r w:rsidRPr="001F203D">
        <w:t>r.</w:t>
      </w:r>
    </w:p>
    <w:p w14:paraId="5F545C37" w14:textId="77777777" w:rsidR="000D12BC" w:rsidRPr="00B55075" w:rsidRDefault="000D12BC" w:rsidP="000D12BC">
      <w:pPr>
        <w:jc w:val="both"/>
        <w:rPr>
          <w:color w:val="EE0000"/>
        </w:rPr>
      </w:pPr>
      <w:r w:rsidRPr="00B55075">
        <w:rPr>
          <w:noProof/>
          <w:color w:val="EE0000"/>
        </w:rPr>
        <mc:AlternateContent>
          <mc:Choice Requires="wpi">
            <w:drawing>
              <wp:anchor distT="0" distB="0" distL="114300" distR="114300" simplePos="0" relativeHeight="251661312" behindDoc="0" locked="0" layoutInCell="1" allowOverlap="1" wp14:anchorId="3E692FCF" wp14:editId="645BEEBD">
                <wp:simplePos x="0" y="0"/>
                <wp:positionH relativeFrom="column">
                  <wp:posOffset>6460990</wp:posOffset>
                </wp:positionH>
                <wp:positionV relativeFrom="paragraph">
                  <wp:posOffset>240880</wp:posOffset>
                </wp:positionV>
                <wp:extent cx="1800" cy="4320"/>
                <wp:effectExtent l="38100" t="38100" r="36830" b="34290"/>
                <wp:wrapNone/>
                <wp:docPr id="1941287585" name="Pismo odręczne 3"/>
                <wp:cNvGraphicFramePr/>
                <a:graphic xmlns:a="http://schemas.openxmlformats.org/drawingml/2006/main">
                  <a:graphicData uri="http://schemas.microsoft.com/office/word/2010/wordprocessingInk">
                    <w14:contentPart bwMode="auto" r:id="rId11">
                      <w14:nvContentPartPr>
                        <w14:cNvContentPartPr/>
                      </w14:nvContentPartPr>
                      <w14:xfrm>
                        <a:off x="0" y="0"/>
                        <a:ext cx="1800" cy="4320"/>
                      </w14:xfrm>
                    </w14:contentPart>
                  </a:graphicData>
                </a:graphic>
              </wp:anchor>
            </w:drawing>
          </mc:Choice>
          <mc:Fallback>
            <w:pict>
              <v:shape w14:anchorId="6A191B9A" id="Pismo odręczne 3" o:spid="_x0000_s1026" type="#_x0000_t75" style="position:absolute;margin-left:508.25pt;margin-top:18.4pt;width:1.1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">
                <v:imagedata r:id="rId12" o:title=""/>
              </v:shape>
            </w:pict>
          </mc:Fallback>
        </mc:AlternateContent>
      </w:r>
    </w:p>
    <w:p w14:paraId="4262A1CA" w14:textId="1A6B2470" w:rsidR="000D12BC" w:rsidRPr="00D10FD1" w:rsidRDefault="000D12BC" w:rsidP="000D12BC">
      <w:pPr>
        <w:jc w:val="both"/>
      </w:pPr>
      <w:r w:rsidRPr="00D10FD1">
        <w:rPr>
          <w:noProof/>
        </w:rPr>
        <mc:AlternateContent>
          <mc:Choice Requires="wpi">
            <w:drawing>
              <wp:anchor distT="0" distB="0" distL="114300" distR="114300" simplePos="0" relativeHeight="251662336" behindDoc="0" locked="0" layoutInCell="1" allowOverlap="1" wp14:anchorId="35E2C0FF" wp14:editId="5712C589">
                <wp:simplePos x="0" y="0"/>
                <wp:positionH relativeFrom="column">
                  <wp:posOffset>5451550</wp:posOffset>
                </wp:positionH>
                <wp:positionV relativeFrom="paragraph">
                  <wp:posOffset>1469620</wp:posOffset>
                </wp:positionV>
                <wp:extent cx="2160" cy="360"/>
                <wp:effectExtent l="38100" t="38100" r="36195" b="38100"/>
                <wp:wrapNone/>
                <wp:docPr id="492472030" name="Pismo odręczne 4"/>
                <wp:cNvGraphicFramePr/>
                <a:graphic xmlns:a="http://schemas.openxmlformats.org/drawingml/2006/main">
                  <a:graphicData uri="http://schemas.microsoft.com/office/word/2010/wordprocessingInk">
                    <w14:contentPart bwMode="auto" r:id="rId13">
                      <w14:nvContentPartPr>
                        <w14:cNvContentPartPr/>
                      </w14:nvContentPartPr>
                      <w14:xfrm>
                        <a:off x="0" y="0"/>
                        <a:ext cx="2160" cy="360"/>
                      </w14:xfrm>
                    </w14:contentPart>
                  </a:graphicData>
                </a:graphic>
              </wp:anchor>
            </w:drawing>
          </mc:Choice>
          <mc:Fallback>
            <w:pict>
              <v:shape w14:anchorId="50C0B239" id="Pismo odręczne 4" o:spid="_x0000_s1026" type="#_x0000_t75" style="position:absolute;margin-left:428.75pt;margin-top:115.2pt;width:1.1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">
                <v:imagedata r:id="rId10" o:title=""/>
              </v:shape>
            </w:pict>
          </mc:Fallback>
        </mc:AlternateContent>
      </w:r>
      <w:r w:rsidRPr="00D10FD1">
        <w:rPr>
          <w:noProof/>
        </w:rPr>
        <mc:AlternateContent>
          <mc:Choice Requires="wpi">
            <w:drawing>
              <wp:anchor distT="0" distB="0" distL="114300" distR="114300" simplePos="0" relativeHeight="251660288" behindDoc="0" locked="0" layoutInCell="1" allowOverlap="1" wp14:anchorId="0630FCE1" wp14:editId="2061EAA1">
                <wp:simplePos x="0" y="0"/>
                <wp:positionH relativeFrom="column">
                  <wp:posOffset>7453510</wp:posOffset>
                </wp:positionH>
                <wp:positionV relativeFrom="paragraph">
                  <wp:posOffset>345700</wp:posOffset>
                </wp:positionV>
                <wp:extent cx="360" cy="360"/>
                <wp:effectExtent l="38100" t="38100" r="38100" b="38100"/>
                <wp:wrapNone/>
                <wp:docPr id="1141085576" name="Pismo odręczne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73577F4" id="Pismo odręczne 2" o:spid="_x0000_s1026" type="#_x0000_t75" style="position:absolute;margin-left:586.4pt;margin-top:26.7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">
                <v:imagedata r:id="rId10" o:title=""/>
              </v:shape>
            </w:pict>
          </mc:Fallback>
        </mc:AlternateContent>
      </w:r>
      <w:r w:rsidRPr="00D10FD1">
        <w:t>Uwzględniając powyższe należy stwierdzić, że jeżeli na dzień 1 stycznia 2026</w:t>
      </w:r>
      <w:r w:rsidR="001F203D" w:rsidRPr="00D10FD1">
        <w:t xml:space="preserve"> </w:t>
      </w:r>
      <w:r w:rsidRPr="00D10FD1">
        <w:t>r. pracownik miał udokumentowane</w:t>
      </w:r>
      <w:r w:rsidR="001F203D" w:rsidRPr="00D10FD1">
        <w:t xml:space="preserve">, przykładowo - </w:t>
      </w:r>
      <w:r w:rsidRPr="00D10FD1">
        <w:t>18 lat pracy</w:t>
      </w:r>
      <w:r w:rsidR="001F203D" w:rsidRPr="00D10FD1">
        <w:t>,</w:t>
      </w:r>
      <w:r w:rsidRPr="00D10FD1">
        <w:t xml:space="preserve">  a następnie udokumentował  prowadzenie pozarolniczej działalności gospodarczej w wymiarze 8 lat i 5 m-cy, to  nabył prawo do nagrody jubileuszowej za 25 lat pracy </w:t>
      </w:r>
      <w:r w:rsidR="001F203D" w:rsidRPr="00D10FD1">
        <w:t>(</w:t>
      </w:r>
      <w:r w:rsidRPr="00D10FD1">
        <w:t>i tę nagrodę pracodawca jest zobowiązany wypłacić</w:t>
      </w:r>
      <w:r w:rsidR="001F203D" w:rsidRPr="00D10FD1">
        <w:t xml:space="preserve">), </w:t>
      </w:r>
      <w:r w:rsidRPr="00D10FD1">
        <w:t xml:space="preserve"> a kolejną nagrodę uzyska po osiągnięciu 30 lat pracy.</w:t>
      </w:r>
    </w:p>
    <w:p w14:paraId="21A61B70" w14:textId="77777777" w:rsidR="000D12BC" w:rsidRPr="00D10FD1" w:rsidRDefault="000D12BC">
      <w:pPr>
        <w:rPr>
          <w:color w:val="EE0000"/>
        </w:rPr>
      </w:pPr>
    </w:p>
    <w:sectPr w:rsidR="000D12BC" w:rsidRPr="00D10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423"/>
    <w:multiLevelType w:val="hybridMultilevel"/>
    <w:tmpl w:val="82C2F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BF7934"/>
    <w:multiLevelType w:val="hybridMultilevel"/>
    <w:tmpl w:val="D890A6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0509103">
    <w:abstractNumId w:val="0"/>
  </w:num>
  <w:num w:numId="2" w16cid:durableId="185978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BC"/>
    <w:rsid w:val="00005B76"/>
    <w:rsid w:val="000D12BC"/>
    <w:rsid w:val="001B580D"/>
    <w:rsid w:val="001F203D"/>
    <w:rsid w:val="004C6D5C"/>
    <w:rsid w:val="005C19C3"/>
    <w:rsid w:val="006E7633"/>
    <w:rsid w:val="00B55075"/>
    <w:rsid w:val="00B67EEA"/>
    <w:rsid w:val="00B8358B"/>
    <w:rsid w:val="00CC299C"/>
    <w:rsid w:val="00D10FD1"/>
    <w:rsid w:val="00EA4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3D81"/>
  <w15:chartTrackingRefBased/>
  <w15:docId w15:val="{003DC0CF-2131-46EC-B573-2C2273C0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2B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D12B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D12B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D12B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D12B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0D12B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0D12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0D12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0D12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0D12B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12B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12B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D12B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D12B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D12B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D12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12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12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12BC"/>
    <w:rPr>
      <w:rFonts w:eastAsiaTheme="majorEastAsia" w:cstheme="majorBidi"/>
      <w:color w:val="272727" w:themeColor="text1" w:themeTint="D8"/>
    </w:rPr>
  </w:style>
  <w:style w:type="paragraph" w:styleId="Tytu">
    <w:name w:val="Title"/>
    <w:basedOn w:val="Normalny"/>
    <w:next w:val="Normalny"/>
    <w:link w:val="TytuZnak"/>
    <w:uiPriority w:val="10"/>
    <w:qFormat/>
    <w:rsid w:val="000D12B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D12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12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D12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12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0D12BC"/>
    <w:rPr>
      <w:i/>
      <w:iCs/>
      <w:color w:val="404040" w:themeColor="text1" w:themeTint="BF"/>
    </w:rPr>
  </w:style>
  <w:style w:type="paragraph" w:styleId="Akapitzlist">
    <w:name w:val="List Paragraph"/>
    <w:basedOn w:val="Normalny"/>
    <w:uiPriority w:val="34"/>
    <w:qFormat/>
    <w:rsid w:val="000D12B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0D12BC"/>
    <w:rPr>
      <w:i/>
      <w:iCs/>
      <w:color w:val="2F5496" w:themeColor="accent1" w:themeShade="BF"/>
    </w:rPr>
  </w:style>
  <w:style w:type="paragraph" w:styleId="Cytatintensywny">
    <w:name w:val="Intense Quote"/>
    <w:basedOn w:val="Normalny"/>
    <w:next w:val="Normalny"/>
    <w:link w:val="CytatintensywnyZnak"/>
    <w:uiPriority w:val="30"/>
    <w:qFormat/>
    <w:rsid w:val="000D12B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0D12BC"/>
    <w:rPr>
      <w:i/>
      <w:iCs/>
      <w:color w:val="2F5496" w:themeColor="accent1" w:themeShade="BF"/>
    </w:rPr>
  </w:style>
  <w:style w:type="character" w:styleId="Odwoanieintensywne">
    <w:name w:val="Intense Reference"/>
    <w:basedOn w:val="Domylnaczcionkaakapitu"/>
    <w:uiPriority w:val="32"/>
    <w:qFormat/>
    <w:rsid w:val="000D12BC"/>
    <w:rPr>
      <w:b/>
      <w:bCs/>
      <w:smallCaps/>
      <w:color w:val="2F5496" w:themeColor="accent1" w:themeShade="BF"/>
      <w:spacing w:val="5"/>
    </w:rPr>
  </w:style>
  <w:style w:type="character" w:styleId="Hipercze">
    <w:name w:val="Hyperlink"/>
    <w:basedOn w:val="Domylnaczcionkaakapitu"/>
    <w:rsid w:val="000D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customXml" Target="ink/ink3.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customXml" Target="ink/ink2.xml"/><Relationship Id="rId5" Type="http://schemas.openxmlformats.org/officeDocument/2006/relationships/hyperlink" Target="https://sip.lex.pl/"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0:07:54.400"/>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0:07:57.647"/>
    </inkml:context>
    <inkml:brush xml:id="br0">
      <inkml:brushProperty name="width" value="0.035" units="cm"/>
      <inkml:brushProperty name="height" value="0.035" units="cm"/>
    </inkml:brush>
  </inkml:definitions>
  <inkml:trace contextRef="#ctx0" brushRef="#br0">5 11 24575,'0'-4'0,"-4"-2"0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0:07:59.484"/>
    </inkml:context>
    <inkml:brush xml:id="br0">
      <inkml:brushProperty name="width" value="0.035" units="cm"/>
      <inkml:brushProperty name="height" value="0.035" units="cm"/>
    </inkml:brush>
  </inkml:definitions>
  <inkml:trace contextRef="#ctx0" brushRef="#br0">5 0 24575,'-5'0'0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0:07:56.543"/>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972</Words>
  <Characters>5835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Niewiarowska - Zielińska</dc:creator>
  <cp:keywords/>
  <dc:description/>
  <cp:lastModifiedBy>Iwona Niewiarowska - Zielińska</cp:lastModifiedBy>
  <cp:revision>4</cp:revision>
  <dcterms:created xsi:type="dcterms:W3CDTF">2026-02-02T12:49:00Z</dcterms:created>
  <dcterms:modified xsi:type="dcterms:W3CDTF">2026-02-04T12:32:00Z</dcterms:modified>
</cp:coreProperties>
</file>